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4C3" w:rsidRPr="008C04C3" w:rsidRDefault="008C04C3" w:rsidP="008C04C3">
      <w:pPr>
        <w:spacing w:after="0" w:line="0" w:lineRule="auto"/>
        <w:outlineLvl w:val="0"/>
        <w:rPr>
          <w:rFonts w:ascii="pt_sansregular" w:eastAsia="Times New Roman" w:hAnsi="pt_sansregular" w:cs="Times New Roman"/>
          <w:kern w:val="36"/>
          <w:sz w:val="18"/>
          <w:szCs w:val="18"/>
          <w:lang w:eastAsia="tr-TR"/>
        </w:rPr>
      </w:pPr>
      <w:r w:rsidRPr="008C04C3">
        <w:rPr>
          <w:rFonts w:ascii="pt_sansregular" w:eastAsia="Times New Roman" w:hAnsi="pt_sansregular" w:cs="Times New Roman"/>
          <w:kern w:val="36"/>
          <w:sz w:val="18"/>
          <w:szCs w:val="18"/>
          <w:lang w:eastAsia="tr-TR"/>
        </w:rPr>
        <w:t>Ataköy'de deprem riski</w:t>
      </w:r>
    </w:p>
    <w:p w:rsidR="008C04C3" w:rsidRPr="008C04C3" w:rsidRDefault="008C04C3" w:rsidP="008C04C3">
      <w:pPr>
        <w:spacing w:after="0" w:line="240" w:lineRule="auto"/>
        <w:rPr>
          <w:rFonts w:ascii="pt_sansregular" w:eastAsia="Times New Roman" w:hAnsi="pt_sansregular" w:cs="Times New Roman"/>
          <w:sz w:val="32"/>
          <w:szCs w:val="32"/>
          <w:lang w:eastAsia="tr-TR"/>
        </w:rPr>
      </w:pPr>
      <w:r w:rsidRPr="008C04C3">
        <w:rPr>
          <w:rFonts w:ascii="pt_sansregular" w:eastAsia="Times New Roman" w:hAnsi="pt_sansregular" w:cs="Times New Roman"/>
          <w:sz w:val="32"/>
          <w:szCs w:val="32"/>
          <w:lang w:eastAsia="tr-TR"/>
        </w:rPr>
        <w:t xml:space="preserve">Ömer ERBİL </w:t>
      </w:r>
    </w:p>
    <w:p w:rsidR="008C04C3" w:rsidRPr="008C04C3" w:rsidRDefault="008C04C3" w:rsidP="008C04C3">
      <w:pPr>
        <w:spacing w:after="0" w:line="240" w:lineRule="auto"/>
        <w:rPr>
          <w:rFonts w:ascii="pt_sansregular" w:eastAsia="Times New Roman" w:hAnsi="pt_sansregular" w:cs="Times New Roman"/>
          <w:sz w:val="32"/>
          <w:szCs w:val="32"/>
          <w:lang w:eastAsia="tr-TR"/>
        </w:rPr>
      </w:pPr>
      <w:r w:rsidRPr="008C04C3">
        <w:rPr>
          <w:rFonts w:ascii="pt_sansregular" w:eastAsia="Times New Roman" w:hAnsi="pt_sansregular" w:cs="Times New Roman"/>
          <w:sz w:val="32"/>
          <w:szCs w:val="32"/>
          <w:lang w:eastAsia="tr-TR"/>
        </w:rPr>
        <w:t>19 Aralık 2014</w:t>
      </w:r>
      <w:r>
        <w:rPr>
          <w:rFonts w:ascii="pt_sansregular" w:eastAsia="Times New Roman" w:hAnsi="pt_sansregular" w:cs="Times New Roman"/>
          <w:sz w:val="32"/>
          <w:szCs w:val="32"/>
          <w:lang w:eastAsia="tr-TR"/>
        </w:rPr>
        <w:t>(Hürriyet, Radikal)</w:t>
      </w:r>
    </w:p>
    <w:p w:rsidR="008C04C3" w:rsidRPr="008C04C3" w:rsidRDefault="008C04C3" w:rsidP="008C04C3">
      <w:pPr>
        <w:spacing w:after="0" w:line="240" w:lineRule="auto"/>
        <w:rPr>
          <w:rFonts w:ascii="pt_sansregular" w:eastAsia="Times New Roman" w:hAnsi="pt_sansregular" w:cs="Times New Roman"/>
          <w:sz w:val="32"/>
          <w:szCs w:val="32"/>
          <w:lang w:eastAsia="tr-TR"/>
        </w:rPr>
      </w:pPr>
      <w:r w:rsidRPr="008C04C3">
        <w:rPr>
          <w:rFonts w:ascii="pt_sansregular" w:eastAsia="Times New Roman" w:hAnsi="pt_sansregular" w:cs="Times New Roman"/>
          <w:noProof/>
          <w:sz w:val="32"/>
          <w:szCs w:val="32"/>
          <w:lang w:eastAsia="tr-T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905500" cy="3333750"/>
            <wp:effectExtent l="19050" t="0" r="0" b="0"/>
            <wp:wrapSquare wrapText="bothSides"/>
            <wp:docPr id="2" name="Resim 2" descr="İstanbul için&lt;br&gt;acı gerç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tanbul için&lt;br&gt;acı gerçek"/>
                    <pic:cNvPicPr>
                      <a:picLocks noChangeAspect="1" noChangeArrowheads="1"/>
                    </pic:cNvPicPr>
                  </pic:nvPicPr>
                  <pic:blipFill>
                    <a:blip r:embed="rId5"/>
                    <a:srcRect/>
                    <a:stretch>
                      <a:fillRect/>
                    </a:stretch>
                  </pic:blipFill>
                  <pic:spPr bwMode="auto">
                    <a:xfrm>
                      <a:off x="0" y="0"/>
                      <a:ext cx="5905500" cy="3333750"/>
                    </a:xfrm>
                    <a:prstGeom prst="rect">
                      <a:avLst/>
                    </a:prstGeom>
                    <a:noFill/>
                    <a:ln w="9525">
                      <a:noFill/>
                      <a:miter lim="800000"/>
                      <a:headEnd/>
                      <a:tailEnd/>
                    </a:ln>
                  </pic:spPr>
                </pic:pic>
              </a:graphicData>
            </a:graphic>
          </wp:anchor>
        </w:drawing>
      </w:r>
    </w:p>
    <w:p w:rsidR="008C04C3" w:rsidRPr="008C04C3" w:rsidRDefault="008C04C3" w:rsidP="008C04C3">
      <w:pPr>
        <w:spacing w:after="0" w:line="0" w:lineRule="auto"/>
        <w:outlineLvl w:val="1"/>
        <w:rPr>
          <w:rFonts w:ascii="pt_sansregular" w:eastAsia="Times New Roman" w:hAnsi="pt_sansregular" w:cs="Times New Roman"/>
          <w:sz w:val="32"/>
          <w:szCs w:val="32"/>
          <w:lang w:eastAsia="tr-TR"/>
        </w:rPr>
      </w:pPr>
      <w:r w:rsidRPr="008C04C3">
        <w:rPr>
          <w:rFonts w:ascii="pt_sansregular" w:eastAsia="Times New Roman" w:hAnsi="pt_sansregular" w:cs="Times New Roman"/>
          <w:sz w:val="32"/>
          <w:szCs w:val="32"/>
          <w:lang w:eastAsia="tr-TR"/>
        </w:rPr>
        <w:t>ATAKÖY sahilde devam eden inşaatlar için yasal zemin olan 2012 yılı onanlı 1 / 5000 ölçekli Nazım İmar Planının iptali ile ilgili İstanbul 5. İdare Mahkemesi’nde dava sürüyor. Mahkemenin istediği ve 1 Aralık 2014 tarihli bilirkişi raporunda acı gerçeği açıkladı: “Plaj kumulu ve alüviyal toprak yapısının egemen olduğu, Deprem Master Planı’nda yer alan analiz çalışmalarında ‘sıvılaşma hassaslığı yüksek bölgeler’ olarak tespit edilen ve deprem kaynağına son derece yakın konumdaki Ataköy bölgesinde yoğun ve yüksek yapılaşma son derece önemli bir risk olarak karşımıza çıkmaktadır.” Ayrıca bilirkişi sahildeki 70 metre maksimum yükseklikle devam eden inşaatlar için de “şehir ile deniz ilişkisini” koparır yorumunda bulundu.</w:t>
      </w:r>
    </w:p>
    <w:p w:rsidR="008C04C3" w:rsidRPr="008C04C3" w:rsidRDefault="008C04C3" w:rsidP="008C04C3">
      <w:pPr>
        <w:spacing w:before="100" w:beforeAutospacing="1" w:after="100" w:afterAutospacing="1" w:line="240" w:lineRule="auto"/>
        <w:rPr>
          <w:rFonts w:ascii="pt_sansregular" w:eastAsia="Times New Roman" w:hAnsi="pt_sansregular" w:cs="Times New Roman"/>
          <w:sz w:val="32"/>
          <w:szCs w:val="32"/>
          <w:lang w:eastAsia="tr-TR"/>
        </w:rPr>
      </w:pPr>
      <w:r w:rsidRPr="008C04C3">
        <w:rPr>
          <w:rFonts w:ascii="pt_sansregular" w:eastAsia="Times New Roman" w:hAnsi="pt_sansregular" w:cs="Times New Roman"/>
          <w:sz w:val="32"/>
          <w:szCs w:val="32"/>
          <w:lang w:eastAsia="tr-TR"/>
        </w:rPr>
        <w:t xml:space="preserve">Turizm alanı </w:t>
      </w:r>
      <w:hyperlink r:id="rId6" w:tgtFrame="_blank" w:tooltip="ilan" w:history="1">
        <w:r w:rsidRPr="008C04C3">
          <w:rPr>
            <w:rFonts w:ascii="pt_sansregular" w:eastAsia="Times New Roman" w:hAnsi="pt_sansregular" w:cs="Times New Roman"/>
            <w:color w:val="0000FF"/>
            <w:sz w:val="32"/>
            <w:szCs w:val="32"/>
            <w:lang w:eastAsia="tr-TR"/>
          </w:rPr>
          <w:t>ilan</w:t>
        </w:r>
      </w:hyperlink>
      <w:r w:rsidRPr="008C04C3">
        <w:rPr>
          <w:rFonts w:ascii="pt_sansregular" w:eastAsia="Times New Roman" w:hAnsi="pt_sansregular" w:cs="Times New Roman"/>
          <w:sz w:val="32"/>
          <w:szCs w:val="32"/>
          <w:lang w:eastAsia="tr-TR"/>
        </w:rPr>
        <w:t xml:space="preserve"> edilen Ataköy sahilde devam eden inşaatların ruhsatları 28.02.1012 onanlı 1/5000 ölçekli nazım imar planları doğrultusunda yapılıyor. 1/1000 ölçekli uygulama imar planı ile inşaat ruhsatları da bu plan baz alınarak izinleri veriliyor. Ataköy’de oturan Prof. Dr. Mesture Ayfer Kaynar’da bu planın iptali için </w:t>
      </w:r>
      <w:hyperlink r:id="rId7" w:tgtFrame="_blank" w:tooltip="İstanbul" w:history="1">
        <w:r w:rsidRPr="008C04C3">
          <w:rPr>
            <w:rFonts w:ascii="pt_sansregular" w:eastAsia="Times New Roman" w:hAnsi="pt_sansregular" w:cs="Times New Roman"/>
            <w:color w:val="0000FF"/>
            <w:sz w:val="32"/>
            <w:szCs w:val="32"/>
            <w:lang w:eastAsia="tr-TR"/>
          </w:rPr>
          <w:t>İstanbul</w:t>
        </w:r>
      </w:hyperlink>
      <w:r w:rsidRPr="008C04C3">
        <w:rPr>
          <w:rFonts w:ascii="pt_sansregular" w:eastAsia="Times New Roman" w:hAnsi="pt_sansregular" w:cs="Times New Roman"/>
          <w:sz w:val="32"/>
          <w:szCs w:val="32"/>
          <w:lang w:eastAsia="tr-TR"/>
        </w:rPr>
        <w:t xml:space="preserve"> 5. İdare Mahkemesi’nde dava açmıştı. Mahkeme geçen yıl bilirkişi raporu istemişti. Bilirkişi imar planlarında 8 kusur tespit etmiş ve planın şehircilik ilkelerine aykırı olduğunu söylemişti.</w:t>
      </w:r>
    </w:p>
    <w:p w:rsidR="008C04C3" w:rsidRPr="008C04C3" w:rsidRDefault="008C04C3" w:rsidP="008C04C3">
      <w:pPr>
        <w:spacing w:beforeAutospacing="1" w:after="100" w:afterAutospacing="1" w:line="240" w:lineRule="auto"/>
        <w:rPr>
          <w:rFonts w:ascii="pt_sansregular" w:eastAsia="Times New Roman" w:hAnsi="pt_sansregular" w:cs="Times New Roman"/>
          <w:sz w:val="32"/>
          <w:szCs w:val="32"/>
          <w:lang w:eastAsia="tr-TR"/>
        </w:rPr>
      </w:pPr>
      <w:hyperlink r:id="rId8" w:history="1">
        <w:r w:rsidRPr="008C04C3">
          <w:rPr>
            <w:rFonts w:ascii="pt_sansregular" w:eastAsia="Times New Roman" w:hAnsi="pt_sansregular" w:cs="Times New Roman"/>
            <w:noProof/>
            <w:color w:val="0000FF"/>
            <w:sz w:val="32"/>
            <w:szCs w:val="32"/>
            <w:lang w:eastAsia="tr-TR"/>
          </w:rPr>
          <w:drawing>
            <wp:inline distT="0" distB="0" distL="0" distR="0">
              <wp:extent cx="1333500" cy="752475"/>
              <wp:effectExtent l="19050" t="0" r="0" b="0"/>
              <wp:docPr id="6" name="Resim 6" descr="http://img.hurriyet.com.tr/_np/2817/2575281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mg.hurriyet.com.tr/_np/2817/25752817.jpg">
                        <a:hlinkClick r:id="rId8"/>
                      </pic:cNvPr>
                      <pic:cNvPicPr>
                        <a:picLocks noChangeAspect="1" noChangeArrowheads="1"/>
                      </pic:cNvPicPr>
                    </pic:nvPicPr>
                    <pic:blipFill>
                      <a:blip r:embed="rId9" cstate="print"/>
                      <a:srcRect/>
                      <a:stretch>
                        <a:fillRect/>
                      </a:stretch>
                    </pic:blipFill>
                    <pic:spPr bwMode="auto">
                      <a:xfrm>
                        <a:off x="0" y="0"/>
                        <a:ext cx="1333500" cy="752475"/>
                      </a:xfrm>
                      <a:prstGeom prst="rect">
                        <a:avLst/>
                      </a:prstGeom>
                      <a:noFill/>
                      <a:ln w="9525">
                        <a:noFill/>
                        <a:miter lim="800000"/>
                        <a:headEnd/>
                        <a:tailEnd/>
                      </a:ln>
                    </pic:spPr>
                  </pic:pic>
                </a:graphicData>
              </a:graphic>
            </wp:inline>
          </w:drawing>
        </w:r>
        <w:r w:rsidRPr="008C04C3">
          <w:rPr>
            <w:rFonts w:ascii="pt_sansregular" w:eastAsia="Times New Roman" w:hAnsi="pt_sansregular" w:cs="Times New Roman"/>
            <w:b/>
            <w:bCs/>
            <w:color w:val="0000FF"/>
            <w:sz w:val="32"/>
            <w:szCs w:val="32"/>
            <w:lang w:eastAsia="tr-TR"/>
          </w:rPr>
          <w:t>KIYIDIR SATILAMAZ</w:t>
        </w:r>
      </w:hyperlink>
    </w:p>
    <w:p w:rsidR="008C04C3" w:rsidRPr="008C04C3" w:rsidRDefault="008C04C3" w:rsidP="008C04C3">
      <w:pPr>
        <w:spacing w:before="100" w:beforeAutospacing="1" w:after="75" w:line="240" w:lineRule="auto"/>
        <w:rPr>
          <w:rFonts w:ascii="pt_sansregular" w:eastAsia="Times New Roman" w:hAnsi="pt_sansregular" w:cs="Times New Roman"/>
          <w:sz w:val="32"/>
          <w:szCs w:val="32"/>
          <w:lang w:eastAsia="tr-TR"/>
        </w:rPr>
      </w:pPr>
      <w:r w:rsidRPr="008C04C3">
        <w:rPr>
          <w:rFonts w:ascii="pt_sansregular" w:eastAsia="Times New Roman" w:hAnsi="pt_sansregular" w:cs="Times New Roman"/>
          <w:b/>
          <w:bCs/>
          <w:sz w:val="32"/>
          <w:szCs w:val="32"/>
          <w:lang w:eastAsia="tr-TR"/>
        </w:rPr>
        <w:t>MAHKEME BİR YIL UZADI</w:t>
      </w:r>
    </w:p>
    <w:p w:rsidR="008C04C3" w:rsidRPr="008C04C3" w:rsidRDefault="008C04C3" w:rsidP="008C04C3">
      <w:pPr>
        <w:spacing w:before="100" w:beforeAutospacing="1" w:after="100" w:afterAutospacing="1" w:line="240" w:lineRule="auto"/>
        <w:rPr>
          <w:rFonts w:ascii="pt_sansregular" w:eastAsia="Times New Roman" w:hAnsi="pt_sansregular" w:cs="Times New Roman"/>
          <w:sz w:val="32"/>
          <w:szCs w:val="32"/>
          <w:lang w:eastAsia="tr-TR"/>
        </w:rPr>
      </w:pPr>
      <w:r w:rsidRPr="008C04C3">
        <w:rPr>
          <w:rFonts w:ascii="pt_sansregular" w:eastAsia="Times New Roman" w:hAnsi="pt_sansregular" w:cs="Times New Roman"/>
          <w:sz w:val="32"/>
          <w:szCs w:val="32"/>
          <w:lang w:eastAsia="tr-TR"/>
        </w:rPr>
        <w:t xml:space="preserve">Aynı mahkeme bilirkişiden ek rapor istedi. Çünkü 2012 yılı planlarında 72 metre olan yükseklik daha sonra plan notu değiştirilerek 70 metreye düşürüldü. Mahkeme bilirkişiden bu yeni kararın plan bütünlüğüne etkisini, yeni bir yoğunluk artışı getirip getirmediğini, plan hiyerarşisine uygun olup olmadığını sordu. </w:t>
      </w:r>
      <w:r w:rsidRPr="008C04C3">
        <w:rPr>
          <w:rFonts w:ascii="pt_sansregular" w:eastAsia="Times New Roman" w:hAnsi="pt_sansregular" w:cs="Times New Roman"/>
          <w:sz w:val="32"/>
          <w:szCs w:val="32"/>
          <w:lang w:eastAsia="tr-TR"/>
        </w:rPr>
        <w:lastRenderedPageBreak/>
        <w:t>Aslında bu plan değişikliği davalı tarafça oyalama ve bir hülle amacıyla yapılmıştı. Zaten eski planda 72 metre olan yükseklik İBB’nin siluet kararında sonra 2 metre daha aşağıya indirilerek 70 metreye düşürüldü. Ama mahkemeyi bir yıldan fazla bir süredir oyalayan değişiklik sırasında inşaatlar hızla yükselerek bitme aşamasına geldi.</w:t>
      </w:r>
    </w:p>
    <w:p w:rsidR="008C04C3" w:rsidRPr="008C04C3" w:rsidRDefault="008C04C3" w:rsidP="008C04C3">
      <w:pPr>
        <w:spacing w:before="100" w:beforeAutospacing="1" w:after="75" w:line="240" w:lineRule="auto"/>
        <w:rPr>
          <w:rFonts w:ascii="pt_sansregular" w:eastAsia="Times New Roman" w:hAnsi="pt_sansregular" w:cs="Times New Roman"/>
          <w:sz w:val="32"/>
          <w:szCs w:val="32"/>
          <w:lang w:eastAsia="tr-TR"/>
        </w:rPr>
      </w:pPr>
      <w:r w:rsidRPr="008C04C3">
        <w:rPr>
          <w:rFonts w:ascii="pt_sansregular" w:eastAsia="Times New Roman" w:hAnsi="pt_sansregular" w:cs="Times New Roman"/>
          <w:b/>
          <w:bCs/>
          <w:sz w:val="32"/>
          <w:szCs w:val="32"/>
          <w:lang w:eastAsia="tr-TR"/>
        </w:rPr>
        <w:t>KIYIYA ERİŞİM ENGELLENDİ</w:t>
      </w:r>
    </w:p>
    <w:p w:rsidR="008C04C3" w:rsidRPr="008C04C3" w:rsidRDefault="008C04C3" w:rsidP="008C04C3">
      <w:pPr>
        <w:spacing w:before="100" w:beforeAutospacing="1" w:after="100" w:afterAutospacing="1" w:line="240" w:lineRule="auto"/>
        <w:rPr>
          <w:rFonts w:ascii="pt_sansregular" w:eastAsia="Times New Roman" w:hAnsi="pt_sansregular" w:cs="Times New Roman"/>
          <w:sz w:val="32"/>
          <w:szCs w:val="32"/>
          <w:lang w:eastAsia="tr-TR"/>
        </w:rPr>
      </w:pPr>
      <w:r w:rsidRPr="008C04C3">
        <w:rPr>
          <w:rFonts w:ascii="pt_sansregular" w:eastAsia="Times New Roman" w:hAnsi="pt_sansregular" w:cs="Times New Roman"/>
          <w:sz w:val="32"/>
          <w:szCs w:val="32"/>
          <w:lang w:eastAsia="tr-TR"/>
        </w:rPr>
        <w:t>Mahkemece istenen ek bilirkişi raporu 1.12.2014 tarihinde çıktı. Yrd. Doç. Dr. Ercan Koç, Doç. Dr. Oya Akın, Doç. Dr. Yiğit Akın tarafından hazırlanan bilirkişi raporunda çok çarpıcı ifadelere yer verildi. Raporda ‘’Yasada tanımlanan imar planlarının bütüncül hazırlanması hükmüne uygun olmadığı, kıyıya erişim, kıyının kamusal kullanıma açık olmasının vazgeçilmez bir önem teşkil ettiği, dava konusu planın kamunun kıyıya erişimini engellediği, 3621 sayılı kıyı kanununa aykırı olduğu’’ tespitleri yapıldı.</w:t>
      </w:r>
    </w:p>
    <w:p w:rsidR="008C04C3" w:rsidRPr="008C04C3" w:rsidRDefault="008C04C3" w:rsidP="008C04C3">
      <w:pPr>
        <w:spacing w:beforeAutospacing="1" w:after="100" w:afterAutospacing="1" w:line="240" w:lineRule="auto"/>
        <w:rPr>
          <w:rFonts w:ascii="pt_sansregular" w:eastAsia="Times New Roman" w:hAnsi="pt_sansregular" w:cs="Times New Roman"/>
          <w:sz w:val="32"/>
          <w:szCs w:val="32"/>
          <w:lang w:eastAsia="tr-TR"/>
        </w:rPr>
      </w:pPr>
      <w:hyperlink r:id="rId10" w:history="1">
        <w:r w:rsidRPr="008C04C3">
          <w:rPr>
            <w:rFonts w:ascii="pt_sansregular" w:eastAsia="Times New Roman" w:hAnsi="pt_sansregular" w:cs="Times New Roman"/>
            <w:noProof/>
            <w:color w:val="0000FF"/>
            <w:sz w:val="32"/>
            <w:szCs w:val="32"/>
            <w:lang w:eastAsia="tr-TR"/>
          </w:rPr>
          <w:drawing>
            <wp:inline distT="0" distB="0" distL="0" distR="0">
              <wp:extent cx="1333500" cy="752475"/>
              <wp:effectExtent l="19050" t="0" r="0" b="0"/>
              <wp:docPr id="7" name="Resim 7" descr="http://img.hurriyet.com.tr/_np/3101/2689310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hurriyet.com.tr/_np/3101/26893101.jpg">
                        <a:hlinkClick r:id="rId10"/>
                      </pic:cNvPr>
                      <pic:cNvPicPr>
                        <a:picLocks noChangeAspect="1" noChangeArrowheads="1"/>
                      </pic:cNvPicPr>
                    </pic:nvPicPr>
                    <pic:blipFill>
                      <a:blip r:embed="rId11" cstate="print"/>
                      <a:srcRect/>
                      <a:stretch>
                        <a:fillRect/>
                      </a:stretch>
                    </pic:blipFill>
                    <pic:spPr bwMode="auto">
                      <a:xfrm>
                        <a:off x="0" y="0"/>
                        <a:ext cx="1333500" cy="752475"/>
                      </a:xfrm>
                      <a:prstGeom prst="rect">
                        <a:avLst/>
                      </a:prstGeom>
                      <a:noFill/>
                      <a:ln w="9525">
                        <a:noFill/>
                        <a:miter lim="800000"/>
                        <a:headEnd/>
                        <a:tailEnd/>
                      </a:ln>
                    </pic:spPr>
                  </pic:pic>
                </a:graphicData>
              </a:graphic>
            </wp:inline>
          </w:drawing>
        </w:r>
        <w:r w:rsidRPr="008C04C3">
          <w:rPr>
            <w:rFonts w:ascii="pt_sansregular" w:eastAsia="Times New Roman" w:hAnsi="pt_sansregular" w:cs="Times New Roman"/>
            <w:b/>
            <w:bCs/>
            <w:color w:val="0000FF"/>
            <w:sz w:val="32"/>
            <w:szCs w:val="32"/>
            <w:lang w:eastAsia="tr-TR"/>
          </w:rPr>
          <w:t>DANIŞTAY, ATAKÖY’DE 70 METRELİK GÖKDELENE İZİN VERMEDİ</w:t>
        </w:r>
      </w:hyperlink>
    </w:p>
    <w:p w:rsidR="008C04C3" w:rsidRPr="008C04C3" w:rsidRDefault="008C04C3" w:rsidP="008C04C3">
      <w:pPr>
        <w:spacing w:before="100" w:beforeAutospacing="1" w:after="75" w:line="240" w:lineRule="auto"/>
        <w:rPr>
          <w:rFonts w:ascii="pt_sansregular" w:eastAsia="Times New Roman" w:hAnsi="pt_sansregular" w:cs="Times New Roman"/>
          <w:sz w:val="32"/>
          <w:szCs w:val="32"/>
          <w:lang w:eastAsia="tr-TR"/>
        </w:rPr>
      </w:pPr>
      <w:r w:rsidRPr="008C04C3">
        <w:rPr>
          <w:rFonts w:ascii="pt_sansregular" w:eastAsia="Times New Roman" w:hAnsi="pt_sansregular" w:cs="Times New Roman"/>
          <w:b/>
          <w:bCs/>
          <w:sz w:val="32"/>
          <w:szCs w:val="32"/>
          <w:lang w:eastAsia="tr-TR"/>
        </w:rPr>
        <w:t>KAMU YARARI YOK!</w:t>
      </w:r>
    </w:p>
    <w:p w:rsidR="008C04C3" w:rsidRPr="008C04C3" w:rsidRDefault="008C04C3" w:rsidP="008C04C3">
      <w:pPr>
        <w:spacing w:before="100" w:beforeAutospacing="1" w:after="100" w:afterAutospacing="1" w:line="240" w:lineRule="auto"/>
        <w:rPr>
          <w:rFonts w:ascii="pt_sansregular" w:eastAsia="Times New Roman" w:hAnsi="pt_sansregular" w:cs="Times New Roman"/>
          <w:sz w:val="32"/>
          <w:szCs w:val="32"/>
          <w:lang w:eastAsia="tr-TR"/>
        </w:rPr>
      </w:pPr>
      <w:r w:rsidRPr="008C04C3">
        <w:rPr>
          <w:rFonts w:ascii="pt_sansregular" w:eastAsia="Times New Roman" w:hAnsi="pt_sansregular" w:cs="Times New Roman"/>
          <w:sz w:val="32"/>
          <w:szCs w:val="32"/>
          <w:lang w:eastAsia="tr-TR"/>
        </w:rPr>
        <w:t>Bilirkişi raporunun sonuç bölümünde ise şöyle denildi: “Kentin kıyı bandında 70 metre yüksekliğin belirlenmesi kıyı arkasının, kıyı ile ilişkisinin koparıldığı ve kıyı arkasında duvar etkisi oluşturulduğu bir yapılaşma düzeni tanımlaması açısından son derece olumsuzdur. Bununla birlikte 1. Derece deprem kuşağı üzerinde yer alan İstanbuıl kentinin dere yatakları ile parçalanmış plaj kumulu ve alüviyal toprak yapısının egemen olduğu Deprem Master Planı’nda yer alan analiz çalışmalarında sıvılaşma hassaslığı yüksek bölgeler olarak tespit edilen ve deprem kaynağına son derece yakın konumdaki Ataköy bölgesinde, yoğun ve yüksek yapılaşma son derece önemli bir risk olarak karşımıza çıkmaktadır. Bu doğrultuda bilirkişi heyetimiz, davaya konu planların planlama ilke ve teknikleri ile kamu yararına uygun olmadığı sonucuna ulaşmıştır.”</w:t>
      </w:r>
    </w:p>
    <w:p w:rsidR="00032901" w:rsidRPr="008C04C3" w:rsidRDefault="00032901">
      <w:pPr>
        <w:rPr>
          <w:sz w:val="32"/>
          <w:szCs w:val="32"/>
        </w:rPr>
      </w:pPr>
    </w:p>
    <w:sectPr w:rsidR="00032901" w:rsidRPr="008C04C3" w:rsidSect="0003290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t_sansbold">
    <w:altName w:val="Times New Roman"/>
    <w:charset w:val="00"/>
    <w:family w:val="auto"/>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A57929"/>
    <w:multiLevelType w:val="multilevel"/>
    <w:tmpl w:val="F9F855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8C04C3"/>
    <w:rsid w:val="00032901"/>
    <w:rsid w:val="008C04C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901"/>
  </w:style>
  <w:style w:type="paragraph" w:styleId="Balk1">
    <w:name w:val="heading 1"/>
    <w:basedOn w:val="Normal"/>
    <w:link w:val="Balk1Char"/>
    <w:uiPriority w:val="9"/>
    <w:qFormat/>
    <w:rsid w:val="008C04C3"/>
    <w:pPr>
      <w:spacing w:after="0" w:line="0" w:lineRule="auto"/>
      <w:outlineLvl w:val="0"/>
    </w:pPr>
    <w:rPr>
      <w:rFonts w:ascii="Times New Roman" w:eastAsia="Times New Roman" w:hAnsi="Times New Roman" w:cs="Times New Roman"/>
      <w:kern w:val="36"/>
      <w:sz w:val="24"/>
      <w:szCs w:val="24"/>
      <w:lang w:eastAsia="tr-TR"/>
    </w:rPr>
  </w:style>
  <w:style w:type="paragraph" w:styleId="Balk2">
    <w:name w:val="heading 2"/>
    <w:basedOn w:val="Normal"/>
    <w:link w:val="Balk2Char"/>
    <w:uiPriority w:val="9"/>
    <w:qFormat/>
    <w:rsid w:val="008C04C3"/>
    <w:pPr>
      <w:spacing w:after="0" w:line="0" w:lineRule="auto"/>
      <w:outlineLvl w:val="1"/>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C04C3"/>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uiPriority w:val="9"/>
    <w:rsid w:val="008C04C3"/>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C04C3"/>
    <w:rPr>
      <w:strike w:val="0"/>
      <w:dstrike w:val="0"/>
      <w:color w:val="0000FF"/>
      <w:u w:val="none"/>
      <w:effect w:val="none"/>
    </w:rPr>
  </w:style>
  <w:style w:type="character" w:styleId="Gl">
    <w:name w:val="Strong"/>
    <w:basedOn w:val="VarsaylanParagrafYazTipi"/>
    <w:uiPriority w:val="22"/>
    <w:qFormat/>
    <w:rsid w:val="008C04C3"/>
    <w:rPr>
      <w:b/>
      <w:bCs/>
    </w:rPr>
  </w:style>
  <w:style w:type="paragraph" w:styleId="NormalWeb">
    <w:name w:val="Normal (Web)"/>
    <w:basedOn w:val="Normal"/>
    <w:uiPriority w:val="99"/>
    <w:semiHidden/>
    <w:unhideWhenUsed/>
    <w:rsid w:val="008C04C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sdtl-count1">
    <w:name w:val="hsdtl-count1"/>
    <w:basedOn w:val="VarsaylanParagrafYazTipi"/>
    <w:rsid w:val="008C04C3"/>
    <w:rPr>
      <w:rFonts w:ascii="pt_sansbold" w:hAnsi="pt_sansbold" w:hint="default"/>
      <w:vanish w:val="0"/>
      <w:webHidden w:val="0"/>
      <w:color w:val="C1C1C1"/>
      <w:sz w:val="18"/>
      <w:szCs w:val="18"/>
      <w:specVanish w:val="0"/>
    </w:rPr>
  </w:style>
  <w:style w:type="character" w:customStyle="1" w:styleId="n-widget">
    <w:name w:val="ın-widget"/>
    <w:basedOn w:val="VarsaylanParagrafYazTipi"/>
    <w:rsid w:val="008C04C3"/>
  </w:style>
  <w:style w:type="character" w:customStyle="1" w:styleId="n-right">
    <w:name w:val="ın-right"/>
    <w:basedOn w:val="VarsaylanParagrafYazTipi"/>
    <w:rsid w:val="008C04C3"/>
  </w:style>
  <w:style w:type="paragraph" w:styleId="BalonMetni">
    <w:name w:val="Balloon Text"/>
    <w:basedOn w:val="Normal"/>
    <w:link w:val="BalonMetniChar"/>
    <w:uiPriority w:val="99"/>
    <w:semiHidden/>
    <w:unhideWhenUsed/>
    <w:rsid w:val="008C04C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04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666607">
      <w:bodyDiv w:val="1"/>
      <w:marLeft w:val="0"/>
      <w:marRight w:val="0"/>
      <w:marTop w:val="0"/>
      <w:marBottom w:val="0"/>
      <w:divBdr>
        <w:top w:val="none" w:sz="0" w:space="0" w:color="auto"/>
        <w:left w:val="none" w:sz="0" w:space="0" w:color="auto"/>
        <w:bottom w:val="none" w:sz="0" w:space="0" w:color="auto"/>
        <w:right w:val="none" w:sz="0" w:space="0" w:color="auto"/>
      </w:divBdr>
      <w:divsChild>
        <w:div w:id="1005399373">
          <w:marLeft w:val="0"/>
          <w:marRight w:val="0"/>
          <w:marTop w:val="0"/>
          <w:marBottom w:val="0"/>
          <w:divBdr>
            <w:top w:val="none" w:sz="0" w:space="0" w:color="auto"/>
            <w:left w:val="none" w:sz="0" w:space="0" w:color="auto"/>
            <w:bottom w:val="none" w:sz="0" w:space="0" w:color="auto"/>
            <w:right w:val="none" w:sz="0" w:space="0" w:color="auto"/>
          </w:divBdr>
          <w:divsChild>
            <w:div w:id="1308434409">
              <w:marLeft w:val="0"/>
              <w:marRight w:val="300"/>
              <w:marTop w:val="0"/>
              <w:marBottom w:val="0"/>
              <w:divBdr>
                <w:top w:val="none" w:sz="0" w:space="0" w:color="auto"/>
                <w:left w:val="none" w:sz="0" w:space="0" w:color="auto"/>
                <w:bottom w:val="none" w:sz="0" w:space="0" w:color="auto"/>
                <w:right w:val="none" w:sz="0" w:space="0" w:color="auto"/>
              </w:divBdr>
              <w:divsChild>
                <w:div w:id="1106194868">
                  <w:marLeft w:val="0"/>
                  <w:marRight w:val="0"/>
                  <w:marTop w:val="0"/>
                  <w:marBottom w:val="0"/>
                  <w:divBdr>
                    <w:top w:val="none" w:sz="0" w:space="0" w:color="auto"/>
                    <w:left w:val="none" w:sz="0" w:space="0" w:color="auto"/>
                    <w:bottom w:val="none" w:sz="0" w:space="0" w:color="auto"/>
                    <w:right w:val="none" w:sz="0" w:space="0" w:color="auto"/>
                  </w:divBdr>
                  <w:divsChild>
                    <w:div w:id="1758137560">
                      <w:marLeft w:val="0"/>
                      <w:marRight w:val="0"/>
                      <w:marTop w:val="0"/>
                      <w:marBottom w:val="0"/>
                      <w:divBdr>
                        <w:top w:val="none" w:sz="0" w:space="0" w:color="auto"/>
                        <w:left w:val="none" w:sz="0" w:space="0" w:color="auto"/>
                        <w:bottom w:val="none" w:sz="0" w:space="0" w:color="auto"/>
                        <w:right w:val="none" w:sz="0" w:space="0" w:color="auto"/>
                      </w:divBdr>
                      <w:divsChild>
                        <w:div w:id="1118913395">
                          <w:marLeft w:val="0"/>
                          <w:marRight w:val="0"/>
                          <w:marTop w:val="0"/>
                          <w:marBottom w:val="0"/>
                          <w:divBdr>
                            <w:top w:val="none" w:sz="0" w:space="0" w:color="auto"/>
                            <w:left w:val="none" w:sz="0" w:space="0" w:color="auto"/>
                            <w:bottom w:val="none" w:sz="0" w:space="0" w:color="auto"/>
                            <w:right w:val="none" w:sz="0" w:space="0" w:color="auto"/>
                          </w:divBdr>
                        </w:div>
                        <w:div w:id="868492023">
                          <w:marLeft w:val="0"/>
                          <w:marRight w:val="0"/>
                          <w:marTop w:val="0"/>
                          <w:marBottom w:val="0"/>
                          <w:divBdr>
                            <w:top w:val="none" w:sz="0" w:space="0" w:color="auto"/>
                            <w:left w:val="none" w:sz="0" w:space="0" w:color="auto"/>
                            <w:bottom w:val="none" w:sz="0" w:space="0" w:color="auto"/>
                            <w:right w:val="none" w:sz="0" w:space="0" w:color="auto"/>
                          </w:divBdr>
                        </w:div>
                      </w:divsChild>
                    </w:div>
                    <w:div w:id="1675254649">
                      <w:marLeft w:val="0"/>
                      <w:marRight w:val="0"/>
                      <w:marTop w:val="0"/>
                      <w:marBottom w:val="0"/>
                      <w:divBdr>
                        <w:top w:val="none" w:sz="0" w:space="0" w:color="auto"/>
                        <w:left w:val="none" w:sz="0" w:space="0" w:color="auto"/>
                        <w:bottom w:val="none" w:sz="0" w:space="0" w:color="auto"/>
                        <w:right w:val="none" w:sz="0" w:space="0" w:color="auto"/>
                      </w:divBdr>
                      <w:divsChild>
                        <w:div w:id="1082138699">
                          <w:marLeft w:val="0"/>
                          <w:marRight w:val="0"/>
                          <w:marTop w:val="0"/>
                          <w:marBottom w:val="0"/>
                          <w:divBdr>
                            <w:top w:val="none" w:sz="0" w:space="0" w:color="auto"/>
                            <w:left w:val="none" w:sz="0" w:space="0" w:color="auto"/>
                            <w:bottom w:val="none" w:sz="0" w:space="0" w:color="auto"/>
                            <w:right w:val="none" w:sz="0" w:space="0" w:color="auto"/>
                          </w:divBdr>
                          <w:divsChild>
                            <w:div w:id="1966739761">
                              <w:marLeft w:val="0"/>
                              <w:marRight w:val="0"/>
                              <w:marTop w:val="0"/>
                              <w:marBottom w:val="0"/>
                              <w:divBdr>
                                <w:top w:val="none" w:sz="0" w:space="0" w:color="auto"/>
                                <w:left w:val="none" w:sz="0" w:space="0" w:color="auto"/>
                                <w:bottom w:val="none" w:sz="0" w:space="0" w:color="auto"/>
                                <w:right w:val="none" w:sz="0" w:space="0" w:color="auto"/>
                              </w:divBdr>
                            </w:div>
                            <w:div w:id="67726202">
                              <w:marLeft w:val="0"/>
                              <w:marRight w:val="0"/>
                              <w:marTop w:val="0"/>
                              <w:marBottom w:val="0"/>
                              <w:divBdr>
                                <w:top w:val="none" w:sz="0" w:space="0" w:color="auto"/>
                                <w:left w:val="none" w:sz="0" w:space="0" w:color="auto"/>
                                <w:bottom w:val="none" w:sz="0" w:space="0" w:color="auto"/>
                                <w:right w:val="none" w:sz="0" w:space="0" w:color="auto"/>
                              </w:divBdr>
                              <w:divsChild>
                                <w:div w:id="393050272">
                                  <w:blockQuote w:val="1"/>
                                  <w:marLeft w:val="720"/>
                                  <w:marRight w:val="720"/>
                                  <w:marTop w:val="100"/>
                                  <w:marBottom w:val="100"/>
                                  <w:divBdr>
                                    <w:top w:val="none" w:sz="0" w:space="0" w:color="auto"/>
                                    <w:left w:val="none" w:sz="0" w:space="0" w:color="auto"/>
                                    <w:bottom w:val="none" w:sz="0" w:space="0" w:color="auto"/>
                                    <w:right w:val="none" w:sz="0" w:space="0" w:color="auto"/>
                                  </w:divBdr>
                                </w:div>
                                <w:div w:id="7973331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rriyet.com.tr/ekonomi/27111034.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rriyet.com.tr/index/istanbu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eklamver.hurriyet.com.tr/"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hyperlink" Target="http://www.hurriyet.com.tr/ekonomi/27673162.asp"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558</Words>
  <Characters>3183</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2</cp:revision>
  <dcterms:created xsi:type="dcterms:W3CDTF">2014-12-19T08:30:00Z</dcterms:created>
  <dcterms:modified xsi:type="dcterms:W3CDTF">2014-12-19T08:33:00Z</dcterms:modified>
</cp:coreProperties>
</file>